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593F6D5C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EF35E7">
        <w:rPr>
          <w:rFonts w:ascii="Arial" w:hAnsi="Arial" w:cs="Arial"/>
          <w:b/>
          <w:bCs/>
          <w:sz w:val="24"/>
          <w:szCs w:val="24"/>
          <w:lang w:val="en-US"/>
        </w:rPr>
        <w:t>95-e</w:t>
      </w:r>
      <w:r>
        <w:rPr>
          <w:rFonts w:ascii="Arial" w:hAnsi="Arial" w:cs="Arial"/>
          <w:b/>
          <w:sz w:val="24"/>
          <w:lang w:val="en-US"/>
        </w:rPr>
        <w:tab/>
      </w:r>
      <w:r w:rsidR="00557E79" w:rsidRPr="00557E79">
        <w:rPr>
          <w:rFonts w:ascii="Arial" w:hAnsi="Arial" w:cs="Arial"/>
          <w:b/>
          <w:sz w:val="24"/>
          <w:lang w:val="en-US"/>
        </w:rPr>
        <w:t>R4-2006882</w:t>
      </w:r>
    </w:p>
    <w:p w14:paraId="549180CF" w14:textId="4FFD43B6" w:rsidR="004345EF" w:rsidRPr="00EF35E7" w:rsidRDefault="00EF35E7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EF35E7">
        <w:rPr>
          <w:rFonts w:ascii="Arial" w:hAnsi="Arial" w:cs="Arial"/>
          <w:b/>
          <w:bCs/>
          <w:sz w:val="24"/>
          <w:szCs w:val="24"/>
          <w:lang w:val="en-US"/>
        </w:rPr>
        <w:t>Electronic Meeting, 25</w:t>
      </w:r>
      <w:r w:rsidRPr="00EF35E7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EF35E7">
        <w:rPr>
          <w:rFonts w:ascii="Arial" w:hAnsi="Arial" w:cs="Arial"/>
          <w:b/>
          <w:bCs/>
          <w:sz w:val="24"/>
          <w:szCs w:val="24"/>
          <w:lang w:val="en-US"/>
        </w:rPr>
        <w:t xml:space="preserve"> May – 5</w:t>
      </w:r>
      <w:r w:rsidRPr="00EF35E7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EF35E7">
        <w:rPr>
          <w:rFonts w:ascii="Arial" w:hAnsi="Arial" w:cs="Arial"/>
          <w:b/>
          <w:bCs/>
          <w:sz w:val="24"/>
          <w:szCs w:val="24"/>
          <w:lang w:val="en-US"/>
        </w:rPr>
        <w:t xml:space="preserve"> June, </w:t>
      </w:r>
      <w:r>
        <w:rPr>
          <w:rFonts w:ascii="Arial" w:hAnsi="Arial" w:cs="Arial"/>
          <w:b/>
          <w:bCs/>
          <w:sz w:val="24"/>
          <w:szCs w:val="24"/>
          <w:lang w:val="en-US"/>
        </w:rPr>
        <w:t>2020</w:t>
      </w:r>
    </w:p>
    <w:p w14:paraId="47A79321" w14:textId="6BE8864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EF35E7" w:rsidRPr="00EF35E7">
        <w:rPr>
          <w:rFonts w:ascii="Arial" w:hAnsi="Arial" w:cs="Arial"/>
        </w:rPr>
        <w:t xml:space="preserve">Reply </w:t>
      </w:r>
      <w:r w:rsidR="00B53F49" w:rsidRPr="00EF35E7">
        <w:rPr>
          <w:rFonts w:ascii="Arial" w:hAnsi="Arial" w:cs="Arial"/>
        </w:rPr>
        <w:t xml:space="preserve">LS on </w:t>
      </w:r>
      <w:r w:rsidR="00EF35E7" w:rsidRPr="00EF35E7">
        <w:rPr>
          <w:rFonts w:ascii="Arial" w:hAnsi="Arial" w:cs="Arial"/>
        </w:rPr>
        <w:t>NeedForGap capability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C82CC0">
        <w:rPr>
          <w:rFonts w:ascii="Arial" w:hAnsi="Arial" w:cs="Arial"/>
        </w:rPr>
        <w:t>16</w:t>
      </w:r>
    </w:p>
    <w:p w14:paraId="3C90F8AB" w14:textId="23D3AA24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</w:p>
    <w:p w14:paraId="20A09E8D" w14:textId="65C3D45E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  <w:r w:rsidR="00557E79" w:rsidRPr="00557E79">
        <w:rPr>
          <w:rFonts w:ascii="Arial" w:hAnsi="Arial" w:cs="Arial"/>
          <w:lang w:val="en-US"/>
        </w:rPr>
        <w:t>R2-2003883</w:t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6994807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 xml:space="preserve">RAN </w:t>
      </w:r>
      <w:r w:rsidR="00B93494">
        <w:rPr>
          <w:rFonts w:ascii="Arial" w:hAnsi="Arial" w:cs="Arial"/>
          <w:bCs/>
        </w:rPr>
        <w:t>WG2</w:t>
      </w:r>
    </w:p>
    <w:p w14:paraId="75F6F6C5" w14:textId="7E45518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bookmarkStart w:id="0" w:name="_GoBack"/>
      <w:bookmarkEnd w:id="0"/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40964484" w14:textId="663E05EE" w:rsidR="00003878" w:rsidRDefault="00003878" w:rsidP="00F54A95">
      <w:pPr>
        <w:jc w:val="both"/>
        <w:rPr>
          <w:rFonts w:ascii="Arial" w:hAnsi="Arial" w:cs="Arial"/>
        </w:rPr>
      </w:pPr>
      <w:r w:rsidRPr="00003878">
        <w:rPr>
          <w:rFonts w:ascii="Arial" w:hAnsi="Arial" w:cs="Arial"/>
        </w:rPr>
        <w:t xml:space="preserve">RAN4 thanks the LS from RAN2 on NeedForGap capability. RAN4 had discussion on the </w:t>
      </w:r>
      <w:r>
        <w:rPr>
          <w:rFonts w:ascii="Arial" w:hAnsi="Arial" w:cs="Arial"/>
        </w:rPr>
        <w:t xml:space="preserve">definitions of </w:t>
      </w:r>
      <w:r w:rsidRPr="00003878">
        <w:rPr>
          <w:rFonts w:ascii="Arial" w:hAnsi="Arial" w:cs="Arial"/>
        </w:rPr>
        <w:t>NeedForGap</w:t>
      </w:r>
      <w:r>
        <w:rPr>
          <w:rFonts w:ascii="Arial" w:hAnsi="Arial" w:cs="Arial"/>
        </w:rPr>
        <w:t xml:space="preserve"> capability and inter-frequency gapless measurement. The</w:t>
      </w:r>
      <w:r w:rsidRPr="00003878">
        <w:rPr>
          <w:rFonts w:ascii="Arial" w:hAnsi="Arial" w:cs="Arial"/>
        </w:rPr>
        <w:t xml:space="preserve"> following conclusion</w:t>
      </w:r>
      <w:r>
        <w:rPr>
          <w:rFonts w:ascii="Arial" w:hAnsi="Arial" w:cs="Arial"/>
        </w:rPr>
        <w:t>s are reached:</w:t>
      </w:r>
    </w:p>
    <w:p w14:paraId="3F0C1E80" w14:textId="082998BA" w:rsidR="00A02E8B" w:rsidRDefault="00A02E8B" w:rsidP="003065DF">
      <w:pPr>
        <w:pStyle w:val="ListParagraph"/>
        <w:numPr>
          <w:ilvl w:val="0"/>
          <w:numId w:val="14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>
        <w:rPr>
          <w:rFonts w:ascii="Arial" w:eastAsia="新細明體" w:hAnsi="Arial" w:cs="Arial"/>
          <w:sz w:val="20"/>
          <w:szCs w:val="20"/>
          <w:lang w:val="en-GB"/>
        </w:rPr>
        <w:t>Scenario discussed in RAN2:</w:t>
      </w:r>
    </w:p>
    <w:p w14:paraId="18095C30" w14:textId="72633DA9" w:rsidR="00003878" w:rsidRDefault="00003878" w:rsidP="006E2D49">
      <w:pPr>
        <w:pStyle w:val="ListParagraph"/>
        <w:numPr>
          <w:ilvl w:val="1"/>
          <w:numId w:val="14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3065DF">
        <w:rPr>
          <w:rFonts w:ascii="Arial" w:eastAsia="新細明體" w:hAnsi="Arial" w:cs="Arial"/>
          <w:sz w:val="20"/>
          <w:szCs w:val="20"/>
          <w:lang w:val="en-GB"/>
        </w:rPr>
        <w:t xml:space="preserve">For inter-frequency measurement, whether UE </w:t>
      </w:r>
      <w:r>
        <w:rPr>
          <w:rFonts w:ascii="Arial" w:eastAsia="新細明體" w:hAnsi="Arial" w:cs="Arial"/>
          <w:sz w:val="20"/>
          <w:szCs w:val="20"/>
          <w:lang w:val="en-GB"/>
        </w:rPr>
        <w:t>can</w:t>
      </w:r>
      <w:r w:rsidRPr="003065DF">
        <w:rPr>
          <w:rFonts w:ascii="Arial" w:eastAsia="新細明體" w:hAnsi="Arial" w:cs="Arial"/>
          <w:sz w:val="20"/>
          <w:szCs w:val="20"/>
          <w:lang w:val="en-GB"/>
        </w:rPr>
        <w:t xml:space="preserve"> report “no-gap” depends on </w:t>
      </w:r>
      <w:r>
        <w:rPr>
          <w:rFonts w:ascii="Arial" w:eastAsia="新細明體" w:hAnsi="Arial" w:cs="Arial"/>
          <w:sz w:val="20"/>
          <w:szCs w:val="20"/>
          <w:lang w:val="en-GB"/>
        </w:rPr>
        <w:t xml:space="preserve">if </w:t>
      </w:r>
    </w:p>
    <w:p w14:paraId="11AC944D" w14:textId="5771F70E" w:rsidR="00003878" w:rsidRDefault="00262FE0" w:rsidP="00262FE0">
      <w:pPr>
        <w:pStyle w:val="ListParagraph"/>
        <w:numPr>
          <w:ilvl w:val="2"/>
          <w:numId w:val="14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262FE0">
        <w:rPr>
          <w:rFonts w:ascii="Arial" w:eastAsia="新細明體" w:hAnsi="Arial" w:cs="Arial"/>
          <w:sz w:val="20"/>
          <w:szCs w:val="20"/>
          <w:lang w:val="en-GB"/>
        </w:rPr>
        <w:t>there is another inactive RF chain for UE to detect or measure SSBs on the inter-frequency layer in the target band while maintaining data reception and transmission on UE’s serving cells in particular band(s) simultaneously</w:t>
      </w:r>
      <w:r w:rsidR="00003878">
        <w:rPr>
          <w:rFonts w:ascii="Arial" w:eastAsia="新細明體" w:hAnsi="Arial" w:cs="Arial"/>
          <w:sz w:val="20"/>
          <w:szCs w:val="20"/>
          <w:lang w:val="en-GB"/>
        </w:rPr>
        <w:t>, or</w:t>
      </w:r>
    </w:p>
    <w:p w14:paraId="628601A6" w14:textId="095B786F" w:rsidR="00003878" w:rsidRDefault="00262FE0" w:rsidP="00262FE0">
      <w:pPr>
        <w:pStyle w:val="ListParagraph"/>
        <w:numPr>
          <w:ilvl w:val="2"/>
          <w:numId w:val="14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262FE0">
        <w:rPr>
          <w:rFonts w:ascii="Arial" w:eastAsia="新細明體" w:hAnsi="Arial" w:cs="Arial"/>
          <w:sz w:val="20"/>
          <w:szCs w:val="20"/>
          <w:lang w:val="en-GB"/>
        </w:rPr>
        <w:t>the BW of an active RF chain is opened wide enough for UE to simultaneously receive or transmit data on UE’s serving cells and detect or measure SSBs from inter-frequency layer in the same band</w:t>
      </w:r>
      <w:r w:rsidR="00003878">
        <w:rPr>
          <w:rFonts w:ascii="Arial" w:eastAsia="新細明體" w:hAnsi="Arial" w:cs="Arial"/>
          <w:sz w:val="20"/>
          <w:szCs w:val="20"/>
          <w:lang w:val="en-GB"/>
        </w:rPr>
        <w:t xml:space="preserve">. </w:t>
      </w:r>
    </w:p>
    <w:p w14:paraId="47DF6266" w14:textId="64417FD1" w:rsidR="00003878" w:rsidRDefault="00003878" w:rsidP="006E2D49">
      <w:pPr>
        <w:pStyle w:val="ListParagraph"/>
        <w:numPr>
          <w:ilvl w:val="1"/>
          <w:numId w:val="14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>
        <w:rPr>
          <w:rFonts w:ascii="Arial" w:eastAsia="新細明體" w:hAnsi="Arial" w:cs="Arial"/>
          <w:sz w:val="20"/>
          <w:szCs w:val="20"/>
          <w:lang w:val="en-GB"/>
        </w:rPr>
        <w:t>For intra-frequency measurement, whether UE can report “no-gap” depends on if</w:t>
      </w:r>
    </w:p>
    <w:p w14:paraId="6604228D" w14:textId="4B60D0E6" w:rsidR="00003878" w:rsidRDefault="00003878" w:rsidP="00262FE0">
      <w:pPr>
        <w:pStyle w:val="ListParagraph"/>
        <w:numPr>
          <w:ilvl w:val="2"/>
          <w:numId w:val="14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>
        <w:rPr>
          <w:rFonts w:ascii="Arial" w:eastAsia="新細明體" w:hAnsi="Arial" w:cs="Arial" w:hint="eastAsia"/>
          <w:sz w:val="20"/>
          <w:szCs w:val="20"/>
          <w:lang w:val="en-GB" w:eastAsia="zh-TW"/>
        </w:rPr>
        <w:t xml:space="preserve">the </w:t>
      </w:r>
      <w:r w:rsidR="00262FE0" w:rsidRPr="00262FE0">
        <w:rPr>
          <w:rFonts w:ascii="Arial" w:eastAsia="新細明體" w:hAnsi="Arial" w:cs="Arial"/>
          <w:sz w:val="20"/>
          <w:szCs w:val="20"/>
          <w:lang w:val="en-GB" w:eastAsia="zh-TW"/>
        </w:rPr>
        <w:t>BW of an active RF chain is opened wide enough for UE to simultaneously receive or transmit data on UE’s serving cells and detect or measure SSBs from intra-frequency layer when the SSB is not completely contained in the active BWP</w:t>
      </w:r>
      <w:r>
        <w:rPr>
          <w:rFonts w:ascii="Arial" w:eastAsia="新細明體" w:hAnsi="Arial" w:cs="Arial"/>
          <w:sz w:val="20"/>
          <w:szCs w:val="20"/>
          <w:lang w:val="en-GB" w:eastAsia="zh-TW"/>
        </w:rPr>
        <w:t>.</w:t>
      </w:r>
    </w:p>
    <w:p w14:paraId="49D54D2E" w14:textId="477526A3" w:rsidR="00A02E8B" w:rsidRDefault="00A02E8B" w:rsidP="00A02E8B">
      <w:pPr>
        <w:pStyle w:val="ListParagraph"/>
        <w:numPr>
          <w:ilvl w:val="0"/>
          <w:numId w:val="14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>
        <w:rPr>
          <w:rFonts w:ascii="Arial" w:eastAsia="新細明體" w:hAnsi="Arial" w:cs="Arial"/>
          <w:sz w:val="20"/>
          <w:szCs w:val="20"/>
          <w:lang w:val="en-GB"/>
        </w:rPr>
        <w:t>Scenario discussed in RAN4:</w:t>
      </w:r>
    </w:p>
    <w:p w14:paraId="3BEEDA5A" w14:textId="201B0F60" w:rsidR="00003878" w:rsidRPr="003065DF" w:rsidRDefault="00003878" w:rsidP="00262FE0">
      <w:pPr>
        <w:pStyle w:val="ListParagraph"/>
        <w:numPr>
          <w:ilvl w:val="1"/>
          <w:numId w:val="14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3065DF">
        <w:rPr>
          <w:rFonts w:ascii="Arial" w:eastAsia="新細明體" w:hAnsi="Arial" w:cs="Arial"/>
          <w:sz w:val="20"/>
          <w:szCs w:val="20"/>
          <w:lang w:val="en-GB"/>
        </w:rPr>
        <w:t>For inter-frequency gapless measurement, the target SSB is completely contained in the active BWP</w:t>
      </w:r>
      <w:r w:rsidR="00A02E8B">
        <w:rPr>
          <w:rFonts w:ascii="Arial" w:eastAsia="新細明體" w:hAnsi="Arial" w:cs="Arial"/>
          <w:sz w:val="20"/>
          <w:szCs w:val="20"/>
          <w:lang w:val="en-GB"/>
        </w:rPr>
        <w:t>.</w:t>
      </w:r>
      <w:r w:rsidRPr="003065DF">
        <w:rPr>
          <w:rFonts w:ascii="Arial" w:eastAsia="新細明體" w:hAnsi="Arial" w:cs="Arial"/>
          <w:sz w:val="20"/>
          <w:szCs w:val="20"/>
          <w:lang w:val="en-GB"/>
        </w:rPr>
        <w:t xml:space="preserve"> </w:t>
      </w:r>
      <w:r w:rsidR="00262FE0" w:rsidRPr="00262FE0">
        <w:rPr>
          <w:rFonts w:ascii="Arial" w:eastAsia="新細明體" w:hAnsi="Arial" w:cs="Arial"/>
          <w:sz w:val="20"/>
          <w:szCs w:val="20"/>
          <w:lang w:val="en-GB"/>
        </w:rPr>
        <w:t>UE does not need to change the RF setting in order to simultaneously receive or transmit data on UE’s serving cells and detect or measure SSBs from inter-frequency layer. It means that gap is always not needed, and whether UE can report “supporting this feature” depends on if</w:t>
      </w:r>
      <w:r w:rsidRPr="003065DF">
        <w:rPr>
          <w:rFonts w:ascii="Arial" w:eastAsia="新細明體" w:hAnsi="Arial" w:cs="Arial"/>
          <w:sz w:val="20"/>
          <w:szCs w:val="20"/>
          <w:lang w:val="en-GB"/>
        </w:rPr>
        <w:t xml:space="preserve">  </w:t>
      </w:r>
    </w:p>
    <w:p w14:paraId="2A625D4F" w14:textId="682081B5" w:rsidR="00003878" w:rsidRDefault="00003878" w:rsidP="006E2D49">
      <w:pPr>
        <w:pStyle w:val="ListParagraph"/>
        <w:numPr>
          <w:ilvl w:val="2"/>
          <w:numId w:val="14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>
        <w:rPr>
          <w:rFonts w:ascii="Arial" w:eastAsia="新細明體" w:hAnsi="Arial" w:cs="Arial"/>
          <w:sz w:val="20"/>
          <w:szCs w:val="20"/>
          <w:lang w:val="en-GB"/>
        </w:rPr>
        <w:t xml:space="preserve">UE’s resource and implementation can support the modified measurement rules. </w:t>
      </w:r>
    </w:p>
    <w:p w14:paraId="6B44C2B4" w14:textId="77777777" w:rsidR="00003878" w:rsidRDefault="00003878" w:rsidP="003065DF">
      <w:pPr>
        <w:jc w:val="both"/>
        <w:rPr>
          <w:rFonts w:ascii="Arial" w:hAnsi="Arial" w:cs="Arial"/>
        </w:rPr>
      </w:pPr>
    </w:p>
    <w:p w14:paraId="6B604F04" w14:textId="0A32E14D" w:rsidR="00003878" w:rsidRDefault="00003878" w:rsidP="003065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RAN4’s understanding is that </w:t>
      </w:r>
      <w:r w:rsidR="00A02E8B">
        <w:rPr>
          <w:rFonts w:ascii="Arial" w:hAnsi="Arial" w:cs="Arial"/>
        </w:rPr>
        <w:t xml:space="preserve">in the </w:t>
      </w:r>
      <w:r w:rsidR="00557E79" w:rsidRPr="00557E79">
        <w:rPr>
          <w:rFonts w:ascii="Arial" w:hAnsi="Arial" w:cs="Arial"/>
        </w:rPr>
        <w:t>R2-2003883</w:t>
      </w:r>
      <w:r w:rsidR="00A02E8B">
        <w:rPr>
          <w:rFonts w:ascii="Arial" w:hAnsi="Arial" w:cs="Arial"/>
        </w:rPr>
        <w:t xml:space="preserve"> the scenario of whether to support gap or no gap for </w:t>
      </w:r>
      <w:r w:rsidRPr="00003878">
        <w:rPr>
          <w:rFonts w:ascii="Arial" w:hAnsi="Arial" w:cs="Arial"/>
        </w:rPr>
        <w:t>inter-frequency measurement</w:t>
      </w:r>
      <w:r>
        <w:rPr>
          <w:rFonts w:ascii="Arial" w:hAnsi="Arial" w:cs="Arial"/>
        </w:rPr>
        <w:t xml:space="preserve"> </w:t>
      </w:r>
      <w:r w:rsidR="00A02E8B">
        <w:rPr>
          <w:rFonts w:ascii="Arial" w:hAnsi="Arial" w:cs="Arial"/>
        </w:rPr>
        <w:t xml:space="preserve">and intra-frequency measurement happens when target SSB is not completely contained in the UE’s active BWP. However, the scenario of </w:t>
      </w:r>
      <w:r w:rsidR="00A02E8B" w:rsidRPr="00A02E8B">
        <w:rPr>
          <w:rFonts w:ascii="Arial" w:hAnsi="Arial" w:cs="Arial"/>
        </w:rPr>
        <w:t>inter-frequency gapless measurement</w:t>
      </w:r>
      <w:r w:rsidR="00A02E8B">
        <w:rPr>
          <w:rFonts w:ascii="Arial" w:hAnsi="Arial" w:cs="Arial"/>
        </w:rPr>
        <w:t xml:space="preserve"> discussed in WI </w:t>
      </w:r>
      <w:r w:rsidR="00A02E8B" w:rsidRPr="006E2D49">
        <w:rPr>
          <w:rFonts w:ascii="Arial" w:hAnsi="Arial" w:cs="Arial"/>
        </w:rPr>
        <w:t>NR_RRM_Enh-Core</w:t>
      </w:r>
      <w:r w:rsidR="00A02E8B">
        <w:rPr>
          <w:rFonts w:ascii="Arial" w:hAnsi="Arial" w:cs="Arial"/>
        </w:rPr>
        <w:t xml:space="preserve"> happens when the </w:t>
      </w:r>
      <w:r w:rsidR="00A02E8B" w:rsidRPr="003065DF">
        <w:rPr>
          <w:rFonts w:ascii="Arial" w:hAnsi="Arial" w:cs="Arial"/>
        </w:rPr>
        <w:t xml:space="preserve">target SSB is completely contained in the </w:t>
      </w:r>
      <w:r w:rsidR="00A02E8B">
        <w:rPr>
          <w:rFonts w:ascii="Arial" w:hAnsi="Arial" w:cs="Arial"/>
        </w:rPr>
        <w:t>UE’s</w:t>
      </w:r>
      <w:r w:rsidR="00A02E8B" w:rsidRPr="003065DF">
        <w:rPr>
          <w:rFonts w:ascii="Arial" w:hAnsi="Arial" w:cs="Arial"/>
        </w:rPr>
        <w:t xml:space="preserve"> active BWP</w:t>
      </w:r>
      <w:r w:rsidR="00A02E8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No matter UE indicates “gap” or “no gap” for the </w:t>
      </w:r>
      <w:r w:rsidRPr="00003878">
        <w:rPr>
          <w:rFonts w:ascii="Arial" w:hAnsi="Arial" w:cs="Arial"/>
        </w:rPr>
        <w:t>inter-frequency measurement</w:t>
      </w:r>
      <w:r>
        <w:rPr>
          <w:rFonts w:ascii="Arial" w:hAnsi="Arial" w:cs="Arial"/>
        </w:rPr>
        <w:t xml:space="preserve"> </w:t>
      </w:r>
      <w:r w:rsidR="00A02E8B">
        <w:rPr>
          <w:rFonts w:ascii="Arial" w:hAnsi="Arial" w:cs="Arial"/>
        </w:rPr>
        <w:t>and intra-frequency measurement</w:t>
      </w:r>
      <w:r>
        <w:rPr>
          <w:rFonts w:ascii="Arial" w:hAnsi="Arial" w:cs="Arial"/>
        </w:rPr>
        <w:t xml:space="preserve">, </w:t>
      </w:r>
      <w:r w:rsidR="00A02E8B">
        <w:rPr>
          <w:rFonts w:ascii="Arial" w:hAnsi="Arial" w:cs="Arial"/>
        </w:rPr>
        <w:t>it has nothing to do with</w:t>
      </w:r>
      <w:r>
        <w:rPr>
          <w:rFonts w:ascii="Arial" w:hAnsi="Arial" w:cs="Arial"/>
        </w:rPr>
        <w:t xml:space="preserve"> the </w:t>
      </w:r>
      <w:r w:rsidR="00A02E8B">
        <w:rPr>
          <w:rFonts w:ascii="Arial" w:hAnsi="Arial" w:cs="Arial"/>
        </w:rPr>
        <w:t>reason for UE to support</w:t>
      </w:r>
      <w:r>
        <w:rPr>
          <w:rFonts w:ascii="Arial" w:hAnsi="Arial" w:cs="Arial"/>
        </w:rPr>
        <w:t xml:space="preserve"> the </w:t>
      </w:r>
      <w:r w:rsidRPr="00E312D4">
        <w:rPr>
          <w:rFonts w:ascii="Arial" w:hAnsi="Arial" w:cs="Arial"/>
        </w:rPr>
        <w:t>inter-frequency gapless measurement</w:t>
      </w:r>
      <w:r>
        <w:rPr>
          <w:rFonts w:ascii="Arial" w:hAnsi="Arial" w:cs="Arial"/>
        </w:rPr>
        <w:t xml:space="preserve">. Therefore, RAN4 concludes that </w:t>
      </w:r>
      <w:r w:rsidRPr="00003878">
        <w:rPr>
          <w:rFonts w:ascii="Arial" w:hAnsi="Arial" w:cs="Arial"/>
        </w:rPr>
        <w:t xml:space="preserve">NeedForGap signaling design </w:t>
      </w:r>
      <w:r w:rsidR="00215470">
        <w:rPr>
          <w:rFonts w:ascii="Arial" w:hAnsi="Arial" w:cs="Arial"/>
        </w:rPr>
        <w:t xml:space="preserve">is </w:t>
      </w:r>
      <w:r w:rsidR="00215470" w:rsidRPr="00215470">
        <w:rPr>
          <w:rFonts w:ascii="Arial" w:hAnsi="Arial" w:cs="Arial"/>
        </w:rPr>
        <w:t>irrelevant</w:t>
      </w:r>
      <w:r w:rsidR="00215470" w:rsidRPr="00215470" w:rsidDel="00215470">
        <w:rPr>
          <w:rFonts w:ascii="Arial" w:hAnsi="Arial" w:cs="Arial"/>
        </w:rPr>
        <w:t xml:space="preserve"> </w:t>
      </w:r>
      <w:r w:rsidRPr="00003878">
        <w:rPr>
          <w:rFonts w:ascii="Arial" w:hAnsi="Arial" w:cs="Arial"/>
        </w:rPr>
        <w:t>with RAN4 new gapless mechanism</w:t>
      </w:r>
      <w:r>
        <w:rPr>
          <w:rFonts w:ascii="Arial" w:hAnsi="Arial" w:cs="Arial"/>
        </w:rPr>
        <w:t>.</w:t>
      </w:r>
    </w:p>
    <w:p w14:paraId="4C1D0B69" w14:textId="77777777" w:rsidR="009A0D0F" w:rsidRDefault="009A0D0F">
      <w:pPr>
        <w:spacing w:after="120"/>
        <w:rPr>
          <w:bCs/>
        </w:rPr>
      </w:pPr>
    </w:p>
    <w:p w14:paraId="114B9F40" w14:textId="77777777" w:rsidR="009A0D0F" w:rsidRPr="00A44F3B" w:rsidRDefault="009A0D0F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lastRenderedPageBreak/>
        <w:t>2. Actions:</w:t>
      </w:r>
    </w:p>
    <w:p w14:paraId="47BCD905" w14:textId="63196A7F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 w:rsidR="004E6714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to </w:t>
      </w:r>
      <w:r w:rsidR="00003878" w:rsidRPr="00003878">
        <w:rPr>
          <w:rFonts w:ascii="Arial" w:hAnsi="Arial" w:cs="Arial"/>
        </w:rPr>
        <w:t>take above RAN</w:t>
      </w:r>
      <w:r w:rsidR="00003878">
        <w:rPr>
          <w:rFonts w:ascii="Arial" w:hAnsi="Arial" w:cs="Arial"/>
        </w:rPr>
        <w:t>4</w:t>
      </w:r>
      <w:r w:rsidR="00003878" w:rsidRPr="00003878">
        <w:rPr>
          <w:rFonts w:ascii="Arial" w:hAnsi="Arial" w:cs="Arial"/>
        </w:rPr>
        <w:t xml:space="preserve"> conclusions into consideration in the future works.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16F70566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  <w:r w:rsidR="00EF35E7">
        <w:rPr>
          <w:rFonts w:ascii="Arial" w:hAnsi="Arial" w:cs="Arial"/>
          <w:b/>
          <w:bCs/>
        </w:rPr>
        <w:t xml:space="preserve"> </w:t>
      </w:r>
    </w:p>
    <w:p w14:paraId="370AB177" w14:textId="2501CE2D" w:rsidR="00B93494" w:rsidRDefault="00B93494" w:rsidP="00B93494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</w:t>
      </w:r>
      <w:r w:rsidR="00EF35E7">
        <w:rPr>
          <w:rFonts w:ascii="Arial" w:hAnsi="Arial" w:cs="Arial"/>
        </w:rPr>
        <w:t>6</w:t>
      </w:r>
      <w:r>
        <w:rPr>
          <w:rFonts w:ascii="Arial" w:hAnsi="Arial" w:cs="Arial"/>
        </w:rPr>
        <w:tab/>
      </w:r>
      <w:r w:rsidR="00EF35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r w:rsidR="00EF35E7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="00EF35E7">
        <w:rPr>
          <w:rFonts w:ascii="Arial" w:hAnsi="Arial" w:cs="Arial"/>
        </w:rPr>
        <w:t xml:space="preserve">     Toulouse</w:t>
      </w:r>
      <w:r>
        <w:rPr>
          <w:rFonts w:ascii="Arial" w:hAnsi="Arial" w:cs="Arial"/>
        </w:rPr>
        <w:t xml:space="preserve">, </w:t>
      </w:r>
      <w:r w:rsidR="00EF35E7">
        <w:rPr>
          <w:rFonts w:ascii="Arial" w:hAnsi="Arial" w:cs="Arial"/>
        </w:rPr>
        <w:t>France</w:t>
      </w:r>
    </w:p>
    <w:p w14:paraId="4F2A4816" w14:textId="79976532" w:rsidR="00C33405" w:rsidRDefault="00C33405" w:rsidP="00C33405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</w:t>
      </w:r>
      <w:r w:rsidR="00EF35E7">
        <w:rPr>
          <w:rFonts w:ascii="Arial" w:hAnsi="Arial" w:cs="Arial"/>
        </w:rPr>
        <w:t>6</w:t>
      </w:r>
      <w:r w:rsidR="0037273F">
        <w:rPr>
          <w:rFonts w:ascii="Arial" w:hAnsi="Arial" w:cs="Arial"/>
        </w:rPr>
        <w:t>Bis</w:t>
      </w:r>
      <w:r w:rsidR="0037273F">
        <w:rPr>
          <w:rFonts w:ascii="Arial" w:hAnsi="Arial" w:cs="Arial"/>
        </w:rPr>
        <w:tab/>
      </w:r>
      <w:r w:rsidR="00EF35E7">
        <w:rPr>
          <w:rFonts w:ascii="Arial" w:hAnsi="Arial" w:cs="Arial"/>
        </w:rPr>
        <w:t xml:space="preserve"> 12</w:t>
      </w:r>
      <w:r w:rsidR="00EF35E7">
        <w:rPr>
          <w:rFonts w:ascii="Arial" w:hAnsi="Arial" w:cs="Arial"/>
          <w:vertAlign w:val="superscript"/>
        </w:rPr>
        <w:t>nd</w:t>
      </w:r>
      <w:r w:rsidR="0037273F">
        <w:rPr>
          <w:rFonts w:ascii="Arial" w:hAnsi="Arial" w:cs="Arial"/>
        </w:rPr>
        <w:t xml:space="preserve"> – </w:t>
      </w:r>
      <w:r w:rsidR="00EF35E7">
        <w:rPr>
          <w:rFonts w:ascii="Arial" w:hAnsi="Arial" w:cs="Arial"/>
        </w:rPr>
        <w:t>15</w:t>
      </w:r>
      <w:r w:rsidRPr="001B4D85">
        <w:rPr>
          <w:rFonts w:ascii="Arial" w:hAnsi="Arial" w:cs="Arial"/>
          <w:vertAlign w:val="superscript"/>
        </w:rPr>
        <w:t>t</w:t>
      </w:r>
      <w:r w:rsidR="00EF35E7">
        <w:rPr>
          <w:rFonts w:ascii="Arial" w:hAnsi="Arial" w:cs="Arial"/>
          <w:vertAlign w:val="superscript"/>
        </w:rPr>
        <w:t>h</w:t>
      </w:r>
      <w:r>
        <w:rPr>
          <w:rFonts w:ascii="Arial" w:hAnsi="Arial" w:cs="Arial"/>
        </w:rPr>
        <w:t xml:space="preserve"> </w:t>
      </w:r>
      <w:r w:rsidR="00EF35E7">
        <w:rPr>
          <w:rFonts w:ascii="Arial" w:hAnsi="Arial" w:cs="Arial"/>
        </w:rPr>
        <w:t xml:space="preserve">October </w:t>
      </w:r>
      <w:r>
        <w:rPr>
          <w:rFonts w:ascii="Arial" w:hAnsi="Arial" w:cs="Arial"/>
        </w:rPr>
        <w:t>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="0037273F">
        <w:rPr>
          <w:rFonts w:ascii="Arial" w:hAnsi="Arial" w:cs="Arial"/>
        </w:rPr>
        <w:t xml:space="preserve">      </w:t>
      </w:r>
      <w:r w:rsidR="00EF35E7">
        <w:rPr>
          <w:rFonts w:ascii="Arial" w:hAnsi="Arial" w:cs="Arial"/>
        </w:rPr>
        <w:t xml:space="preserve"> </w:t>
      </w:r>
      <w:r w:rsidR="0037273F">
        <w:rPr>
          <w:rFonts w:ascii="Arial" w:hAnsi="Arial" w:cs="Arial"/>
        </w:rPr>
        <w:t xml:space="preserve">       </w:t>
      </w:r>
      <w:r w:rsidR="00EF35E7">
        <w:rPr>
          <w:rFonts w:ascii="Arial" w:hAnsi="Arial" w:cs="Arial"/>
        </w:rPr>
        <w:t>Kochi, India</w:t>
      </w:r>
    </w:p>
    <w:p w14:paraId="4CBAD859" w14:textId="77777777" w:rsidR="00B93494" w:rsidRDefault="00B93494" w:rsidP="000B0370">
      <w:pPr>
        <w:tabs>
          <w:tab w:val="left" w:pos="5103"/>
        </w:tabs>
        <w:spacing w:after="120"/>
        <w:rPr>
          <w:rFonts w:ascii="Arial" w:hAnsi="Arial" w:cs="Arial"/>
        </w:rPr>
      </w:pP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48459" w14:textId="77777777" w:rsidR="006D51FB" w:rsidRDefault="006D51FB" w:rsidP="00883A06">
      <w:pPr>
        <w:spacing w:after="0" w:line="240" w:lineRule="auto"/>
      </w:pPr>
      <w:r>
        <w:separator/>
      </w:r>
    </w:p>
  </w:endnote>
  <w:endnote w:type="continuationSeparator" w:id="0">
    <w:p w14:paraId="7F68C009" w14:textId="77777777" w:rsidR="006D51FB" w:rsidRDefault="006D51FB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9588A" w14:textId="77777777" w:rsidR="006D51FB" w:rsidRDefault="006D51FB" w:rsidP="00883A06">
      <w:pPr>
        <w:spacing w:after="0" w:line="240" w:lineRule="auto"/>
      </w:pPr>
      <w:r>
        <w:separator/>
      </w:r>
    </w:p>
  </w:footnote>
  <w:footnote w:type="continuationSeparator" w:id="0">
    <w:p w14:paraId="7363C49C" w14:textId="77777777" w:rsidR="006D51FB" w:rsidRDefault="006D51FB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5373B6"/>
    <w:multiLevelType w:val="hybridMultilevel"/>
    <w:tmpl w:val="A67C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331742"/>
    <w:multiLevelType w:val="hybridMultilevel"/>
    <w:tmpl w:val="0E541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66981"/>
    <w:multiLevelType w:val="hybridMultilevel"/>
    <w:tmpl w:val="7B1C4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81D95"/>
    <w:multiLevelType w:val="hybridMultilevel"/>
    <w:tmpl w:val="2B40B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C3D84"/>
    <w:multiLevelType w:val="hybridMultilevel"/>
    <w:tmpl w:val="5BAC5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8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9"/>
  </w:num>
  <w:num w:numId="10">
    <w:abstractNumId w:val="13"/>
  </w:num>
  <w:num w:numId="11">
    <w:abstractNumId w:val="12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03878"/>
    <w:rsid w:val="0002116E"/>
    <w:rsid w:val="00037DC7"/>
    <w:rsid w:val="000820DB"/>
    <w:rsid w:val="00095093"/>
    <w:rsid w:val="000B0370"/>
    <w:rsid w:val="000B40FB"/>
    <w:rsid w:val="000B46FB"/>
    <w:rsid w:val="000C544E"/>
    <w:rsid w:val="000D0301"/>
    <w:rsid w:val="00104BEC"/>
    <w:rsid w:val="0011065A"/>
    <w:rsid w:val="0013166B"/>
    <w:rsid w:val="00140C61"/>
    <w:rsid w:val="0015535B"/>
    <w:rsid w:val="001676C5"/>
    <w:rsid w:val="00172188"/>
    <w:rsid w:val="00174B2A"/>
    <w:rsid w:val="00184353"/>
    <w:rsid w:val="00192535"/>
    <w:rsid w:val="001A7067"/>
    <w:rsid w:val="001B08A5"/>
    <w:rsid w:val="001B4D85"/>
    <w:rsid w:val="001C6A01"/>
    <w:rsid w:val="001D298E"/>
    <w:rsid w:val="001D2FF7"/>
    <w:rsid w:val="001F0C6F"/>
    <w:rsid w:val="002136F3"/>
    <w:rsid w:val="00215470"/>
    <w:rsid w:val="00244285"/>
    <w:rsid w:val="00262FE0"/>
    <w:rsid w:val="002C4DA8"/>
    <w:rsid w:val="002D0D0C"/>
    <w:rsid w:val="002F4B38"/>
    <w:rsid w:val="00300A5A"/>
    <w:rsid w:val="003065DF"/>
    <w:rsid w:val="00306ED6"/>
    <w:rsid w:val="0031042D"/>
    <w:rsid w:val="00332D10"/>
    <w:rsid w:val="00344B88"/>
    <w:rsid w:val="00361615"/>
    <w:rsid w:val="003636CB"/>
    <w:rsid w:val="0037273F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402625"/>
    <w:rsid w:val="004077D1"/>
    <w:rsid w:val="004304DD"/>
    <w:rsid w:val="00432926"/>
    <w:rsid w:val="004345EF"/>
    <w:rsid w:val="00445899"/>
    <w:rsid w:val="004568BF"/>
    <w:rsid w:val="00473CCF"/>
    <w:rsid w:val="004877FE"/>
    <w:rsid w:val="00491672"/>
    <w:rsid w:val="004B4858"/>
    <w:rsid w:val="004D1479"/>
    <w:rsid w:val="004D3C8E"/>
    <w:rsid w:val="004D4B8B"/>
    <w:rsid w:val="004E6714"/>
    <w:rsid w:val="00501A78"/>
    <w:rsid w:val="00512808"/>
    <w:rsid w:val="005138F2"/>
    <w:rsid w:val="00513D47"/>
    <w:rsid w:val="005220DB"/>
    <w:rsid w:val="00536F0B"/>
    <w:rsid w:val="00557E79"/>
    <w:rsid w:val="005647CA"/>
    <w:rsid w:val="005775CF"/>
    <w:rsid w:val="0058487B"/>
    <w:rsid w:val="0059471F"/>
    <w:rsid w:val="005A440E"/>
    <w:rsid w:val="005C0EE9"/>
    <w:rsid w:val="005D7E26"/>
    <w:rsid w:val="005E3531"/>
    <w:rsid w:val="0060300F"/>
    <w:rsid w:val="006157CE"/>
    <w:rsid w:val="0065452A"/>
    <w:rsid w:val="0067483A"/>
    <w:rsid w:val="00693629"/>
    <w:rsid w:val="006A522B"/>
    <w:rsid w:val="006D51FB"/>
    <w:rsid w:val="006E2D49"/>
    <w:rsid w:val="006E4003"/>
    <w:rsid w:val="00700230"/>
    <w:rsid w:val="00706BAA"/>
    <w:rsid w:val="007144CB"/>
    <w:rsid w:val="00734AE3"/>
    <w:rsid w:val="0074478A"/>
    <w:rsid w:val="00760714"/>
    <w:rsid w:val="00774321"/>
    <w:rsid w:val="00775815"/>
    <w:rsid w:val="007A63E2"/>
    <w:rsid w:val="007A7084"/>
    <w:rsid w:val="007B25F2"/>
    <w:rsid w:val="0080036B"/>
    <w:rsid w:val="00816C86"/>
    <w:rsid w:val="0083700A"/>
    <w:rsid w:val="00841559"/>
    <w:rsid w:val="0086077A"/>
    <w:rsid w:val="00874857"/>
    <w:rsid w:val="0087733A"/>
    <w:rsid w:val="00880C80"/>
    <w:rsid w:val="0088327B"/>
    <w:rsid w:val="00883A06"/>
    <w:rsid w:val="00883E61"/>
    <w:rsid w:val="00894941"/>
    <w:rsid w:val="008B63C4"/>
    <w:rsid w:val="008D5FA9"/>
    <w:rsid w:val="008E4E0E"/>
    <w:rsid w:val="008F33CD"/>
    <w:rsid w:val="008F4A8A"/>
    <w:rsid w:val="008F4DAB"/>
    <w:rsid w:val="00950C0E"/>
    <w:rsid w:val="00955090"/>
    <w:rsid w:val="00977F3E"/>
    <w:rsid w:val="009827A8"/>
    <w:rsid w:val="0099139F"/>
    <w:rsid w:val="00991703"/>
    <w:rsid w:val="009A0D0F"/>
    <w:rsid w:val="009D39C1"/>
    <w:rsid w:val="009D3FAB"/>
    <w:rsid w:val="009F21F6"/>
    <w:rsid w:val="009F52BD"/>
    <w:rsid w:val="009F5423"/>
    <w:rsid w:val="00A02E8B"/>
    <w:rsid w:val="00A373E7"/>
    <w:rsid w:val="00A44F3B"/>
    <w:rsid w:val="00A669A6"/>
    <w:rsid w:val="00A73C80"/>
    <w:rsid w:val="00A754B4"/>
    <w:rsid w:val="00A80A95"/>
    <w:rsid w:val="00A8336C"/>
    <w:rsid w:val="00A86816"/>
    <w:rsid w:val="00A931D7"/>
    <w:rsid w:val="00AA1596"/>
    <w:rsid w:val="00AB272A"/>
    <w:rsid w:val="00AC0390"/>
    <w:rsid w:val="00AE1358"/>
    <w:rsid w:val="00AE350F"/>
    <w:rsid w:val="00AE57C7"/>
    <w:rsid w:val="00B03BBF"/>
    <w:rsid w:val="00B372CF"/>
    <w:rsid w:val="00B53F49"/>
    <w:rsid w:val="00B55103"/>
    <w:rsid w:val="00B80D28"/>
    <w:rsid w:val="00B81B05"/>
    <w:rsid w:val="00B8767C"/>
    <w:rsid w:val="00B93494"/>
    <w:rsid w:val="00B93671"/>
    <w:rsid w:val="00BC742E"/>
    <w:rsid w:val="00BE3E1F"/>
    <w:rsid w:val="00BE3EDA"/>
    <w:rsid w:val="00C140CC"/>
    <w:rsid w:val="00C1509A"/>
    <w:rsid w:val="00C2201F"/>
    <w:rsid w:val="00C3074A"/>
    <w:rsid w:val="00C33405"/>
    <w:rsid w:val="00C82CC0"/>
    <w:rsid w:val="00C87838"/>
    <w:rsid w:val="00C91310"/>
    <w:rsid w:val="00C96CC4"/>
    <w:rsid w:val="00CA4123"/>
    <w:rsid w:val="00CA5BB8"/>
    <w:rsid w:val="00CF59CC"/>
    <w:rsid w:val="00D00128"/>
    <w:rsid w:val="00D02481"/>
    <w:rsid w:val="00D408B2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B567A"/>
    <w:rsid w:val="00DE673F"/>
    <w:rsid w:val="00E0068E"/>
    <w:rsid w:val="00E0794B"/>
    <w:rsid w:val="00E2501F"/>
    <w:rsid w:val="00E45A05"/>
    <w:rsid w:val="00E54170"/>
    <w:rsid w:val="00E6176E"/>
    <w:rsid w:val="00E62586"/>
    <w:rsid w:val="00E64804"/>
    <w:rsid w:val="00E65024"/>
    <w:rsid w:val="00E77E9C"/>
    <w:rsid w:val="00E804CC"/>
    <w:rsid w:val="00E85BE4"/>
    <w:rsid w:val="00EA25B2"/>
    <w:rsid w:val="00EA5ECC"/>
    <w:rsid w:val="00EB1D2D"/>
    <w:rsid w:val="00EC7387"/>
    <w:rsid w:val="00EC7B7C"/>
    <w:rsid w:val="00EF35E7"/>
    <w:rsid w:val="00F0244B"/>
    <w:rsid w:val="00F23F1E"/>
    <w:rsid w:val="00F32522"/>
    <w:rsid w:val="00F54A95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4E6714"/>
    <w:pPr>
      <w:spacing w:before="120" w:after="0" w:line="240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4E6714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0B94F31-34E5-46A8-867E-D4B391932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Althea Huang (黃汀華)</cp:lastModifiedBy>
  <cp:revision>7</cp:revision>
  <cp:lastPrinted>2002-04-23T07:10:00Z</cp:lastPrinted>
  <dcterms:created xsi:type="dcterms:W3CDTF">2020-05-11T03:30:00Z</dcterms:created>
  <dcterms:modified xsi:type="dcterms:W3CDTF">2020-05-15T07:13:00Z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